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A946" w14:textId="5B26812D" w:rsidR="002B0739" w:rsidRPr="00EB6AAE" w:rsidRDefault="0037111C" w:rsidP="00991797">
      <w:pPr>
        <w:rPr>
          <w:b/>
          <w:bCs/>
        </w:rPr>
      </w:pPr>
      <w:r>
        <w:rPr>
          <w:b/>
          <w:bCs/>
          <w:kern w:val="0"/>
          <w:sz w:val="44"/>
          <w:szCs w:val="44"/>
          <w14:ligatures w14:val="none"/>
        </w:rPr>
        <w:t xml:space="preserve">Nyt power-partnerskab vil </w:t>
      </w:r>
      <w:r w:rsidR="002A126F">
        <w:rPr>
          <w:b/>
          <w:bCs/>
          <w:kern w:val="0"/>
          <w:sz w:val="44"/>
          <w:szCs w:val="44"/>
          <w14:ligatures w14:val="none"/>
        </w:rPr>
        <w:t>forbedre</w:t>
      </w:r>
      <w:r>
        <w:rPr>
          <w:b/>
          <w:bCs/>
          <w:kern w:val="0"/>
          <w:sz w:val="44"/>
          <w:szCs w:val="44"/>
          <w14:ligatures w14:val="none"/>
        </w:rPr>
        <w:t xml:space="preserve"> energisektorens</w:t>
      </w:r>
      <w:r w:rsidR="002A126F">
        <w:rPr>
          <w:b/>
          <w:bCs/>
          <w:kern w:val="0"/>
          <w:sz w:val="44"/>
          <w:szCs w:val="44"/>
          <w14:ligatures w14:val="none"/>
        </w:rPr>
        <w:t xml:space="preserve"> vejr</w:t>
      </w:r>
      <w:r>
        <w:rPr>
          <w:b/>
          <w:bCs/>
          <w:kern w:val="0"/>
          <w:sz w:val="44"/>
          <w:szCs w:val="44"/>
          <w14:ligatures w14:val="none"/>
        </w:rPr>
        <w:t>prognoser</w:t>
      </w:r>
      <w:r w:rsidR="002A126F">
        <w:rPr>
          <w:b/>
          <w:bCs/>
          <w:kern w:val="0"/>
          <w:sz w:val="44"/>
          <w:szCs w:val="44"/>
          <w14:ligatures w14:val="none"/>
        </w:rPr>
        <w:t xml:space="preserve"> med</w:t>
      </w:r>
      <w:r>
        <w:rPr>
          <w:b/>
          <w:bCs/>
          <w:kern w:val="0"/>
          <w:sz w:val="44"/>
          <w:szCs w:val="44"/>
          <w14:ligatures w14:val="none"/>
        </w:rPr>
        <w:t xml:space="preserve"> 10 procent</w:t>
      </w:r>
      <w:r w:rsidR="00D337C8">
        <w:rPr>
          <w:b/>
          <w:bCs/>
          <w:sz w:val="48"/>
          <w:szCs w:val="48"/>
        </w:rPr>
        <w:br/>
      </w:r>
      <w:r w:rsidR="009461DE" w:rsidRPr="00011FA2">
        <w:rPr>
          <w:b/>
          <w:bCs/>
        </w:rPr>
        <w:t>ENFOR, Ørsted</w:t>
      </w:r>
      <w:r w:rsidR="003B7854">
        <w:rPr>
          <w:b/>
          <w:bCs/>
        </w:rPr>
        <w:t>,</w:t>
      </w:r>
      <w:r w:rsidR="009461DE" w:rsidRPr="00011FA2">
        <w:rPr>
          <w:b/>
          <w:bCs/>
        </w:rPr>
        <w:t xml:space="preserve"> DMI</w:t>
      </w:r>
      <w:r w:rsidR="003B7854">
        <w:rPr>
          <w:b/>
          <w:bCs/>
        </w:rPr>
        <w:t xml:space="preserve"> og flere andre</w:t>
      </w:r>
      <w:r w:rsidR="002F2D7A">
        <w:rPr>
          <w:b/>
          <w:bCs/>
        </w:rPr>
        <w:t xml:space="preserve"> partnere</w:t>
      </w:r>
      <w:r>
        <w:rPr>
          <w:b/>
          <w:bCs/>
        </w:rPr>
        <w:t xml:space="preserve"> </w:t>
      </w:r>
      <w:r w:rsidR="003B7854">
        <w:rPr>
          <w:b/>
          <w:bCs/>
        </w:rPr>
        <w:t xml:space="preserve">vil </w:t>
      </w:r>
      <w:r w:rsidR="00CD4683">
        <w:rPr>
          <w:b/>
          <w:bCs/>
        </w:rPr>
        <w:t>forbedre energisektorens</w:t>
      </w:r>
      <w:r w:rsidR="006A725A">
        <w:rPr>
          <w:b/>
          <w:bCs/>
        </w:rPr>
        <w:t xml:space="preserve"> </w:t>
      </w:r>
      <w:r w:rsidR="009461DE" w:rsidRPr="00011FA2">
        <w:rPr>
          <w:b/>
          <w:bCs/>
        </w:rPr>
        <w:t xml:space="preserve">prognoser for </w:t>
      </w:r>
      <w:r w:rsidR="006A725A">
        <w:rPr>
          <w:b/>
          <w:bCs/>
        </w:rPr>
        <w:t xml:space="preserve">energi </w:t>
      </w:r>
      <w:r w:rsidR="007A6B2F" w:rsidRPr="00011FA2">
        <w:rPr>
          <w:b/>
          <w:bCs/>
        </w:rPr>
        <w:t xml:space="preserve">fra </w:t>
      </w:r>
      <w:r w:rsidR="009461DE" w:rsidRPr="00011FA2">
        <w:rPr>
          <w:b/>
          <w:bCs/>
        </w:rPr>
        <w:t>sol og vind. Målet er at reducere ubalancer og omkostninger</w:t>
      </w:r>
      <w:r w:rsidR="003465DC" w:rsidRPr="00011FA2">
        <w:rPr>
          <w:b/>
          <w:bCs/>
        </w:rPr>
        <w:t xml:space="preserve"> til de </w:t>
      </w:r>
      <w:r w:rsidR="009E5DA9" w:rsidRPr="00011FA2">
        <w:rPr>
          <w:b/>
          <w:bCs/>
        </w:rPr>
        <w:t>system</w:t>
      </w:r>
      <w:r w:rsidR="003465DC" w:rsidRPr="00011FA2">
        <w:rPr>
          <w:b/>
          <w:bCs/>
        </w:rPr>
        <w:t>ydelser, der sikrer</w:t>
      </w:r>
      <w:r w:rsidR="00FD3C39" w:rsidRPr="00011FA2">
        <w:rPr>
          <w:b/>
          <w:bCs/>
        </w:rPr>
        <w:t xml:space="preserve"> </w:t>
      </w:r>
      <w:r w:rsidR="005D2EB6" w:rsidRPr="00011FA2">
        <w:rPr>
          <w:b/>
          <w:bCs/>
        </w:rPr>
        <w:t xml:space="preserve">produktion og forbrug af </w:t>
      </w:r>
      <w:r w:rsidR="006A725A">
        <w:rPr>
          <w:b/>
          <w:bCs/>
        </w:rPr>
        <w:t>grøn strøm</w:t>
      </w:r>
      <w:r w:rsidR="003465DC" w:rsidRPr="00011FA2">
        <w:rPr>
          <w:b/>
          <w:bCs/>
        </w:rPr>
        <w:t xml:space="preserve"> i Danmark. </w:t>
      </w:r>
    </w:p>
    <w:p w14:paraId="68564BF6" w14:textId="77777777" w:rsidR="002F2D7A" w:rsidRDefault="00EB756C" w:rsidP="00641973">
      <w:r>
        <w:t>V</w:t>
      </w:r>
      <w:r w:rsidR="005129A3">
        <w:t>ejrudsigten</w:t>
      </w:r>
      <w:r w:rsidR="00F535B5">
        <w:t xml:space="preserve"> i tv eller </w:t>
      </w:r>
      <w:r w:rsidR="00F76A28">
        <w:t>mobil-appen</w:t>
      </w:r>
      <w:r w:rsidR="005129A3">
        <w:t xml:space="preserve"> </w:t>
      </w:r>
      <w:r>
        <w:t>er god</w:t>
      </w:r>
      <w:r w:rsidR="00E20C1A">
        <w:t xml:space="preserve"> at have</w:t>
      </w:r>
      <w:r>
        <w:t xml:space="preserve">, når man </w:t>
      </w:r>
      <w:r w:rsidR="0037111C">
        <w:t xml:space="preserve">skal </w:t>
      </w:r>
      <w:r w:rsidR="007F098E">
        <w:t xml:space="preserve">vælge </w:t>
      </w:r>
      <w:r w:rsidR="005129A3">
        <w:t xml:space="preserve">mellem </w:t>
      </w:r>
      <w:r w:rsidR="008C7176">
        <w:t>shorts</w:t>
      </w:r>
      <w:r w:rsidR="005129A3">
        <w:t xml:space="preserve"> eller regntøj</w:t>
      </w:r>
      <w:r w:rsidR="00012708">
        <w:t>.</w:t>
      </w:r>
      <w:r w:rsidR="008F34EF">
        <w:t xml:space="preserve"> </w:t>
      </w:r>
    </w:p>
    <w:p w14:paraId="3DB79D4F" w14:textId="38B08E77" w:rsidR="006B3EC8" w:rsidRDefault="00EB756C" w:rsidP="00641973">
      <w:r>
        <w:t xml:space="preserve">Den samme logik gælder for </w:t>
      </w:r>
      <w:r w:rsidR="006B3EC8">
        <w:t>energihandlere og -</w:t>
      </w:r>
      <w:r w:rsidR="00414927">
        <w:t>operatører</w:t>
      </w:r>
      <w:r>
        <w:t xml:space="preserve">, der bruger </w:t>
      </w:r>
      <w:r w:rsidR="00D1797D">
        <w:t>vejrprognoser</w:t>
      </w:r>
      <w:r w:rsidR="00E60BAA">
        <w:t xml:space="preserve"> og tilknyttede energiprognoser</w:t>
      </w:r>
      <w:r w:rsidR="0037111C">
        <w:t>,</w:t>
      </w:r>
      <w:r w:rsidR="00E60BAA">
        <w:t xml:space="preserve"> </w:t>
      </w:r>
      <w:r w:rsidR="00D1797D">
        <w:t xml:space="preserve">når energisystemet i Danmark skal klædes på efter forholdene. </w:t>
      </w:r>
    </w:p>
    <w:p w14:paraId="592457F6" w14:textId="210FDF70" w:rsidR="00641973" w:rsidRPr="00011FA2" w:rsidRDefault="00641973" w:rsidP="00641973">
      <w:r w:rsidRPr="00011FA2">
        <w:t xml:space="preserve">Det fortæller Mikkel Westenholz, </w:t>
      </w:r>
      <w:proofErr w:type="spellStart"/>
      <w:r w:rsidRPr="00011FA2">
        <w:t>Managing</w:t>
      </w:r>
      <w:proofErr w:type="spellEnd"/>
      <w:r w:rsidRPr="00011FA2">
        <w:t xml:space="preserve"> </w:t>
      </w:r>
      <w:proofErr w:type="spellStart"/>
      <w:r w:rsidRPr="00011FA2">
        <w:t>Director</w:t>
      </w:r>
      <w:proofErr w:type="spellEnd"/>
      <w:r w:rsidRPr="00011FA2">
        <w:t xml:space="preserve"> i den danske virksomhed ENFOR, der aktuelt leverer cirka 15 procent af alle </w:t>
      </w:r>
      <w:r w:rsidR="00C23F67">
        <w:t>energi</w:t>
      </w:r>
      <w:r w:rsidRPr="00011FA2">
        <w:t xml:space="preserve">prognoser til </w:t>
      </w:r>
      <w:r w:rsidR="003D2510">
        <w:t xml:space="preserve">den globale </w:t>
      </w:r>
      <w:r w:rsidRPr="00011FA2">
        <w:t xml:space="preserve">energisektor. </w:t>
      </w:r>
    </w:p>
    <w:p w14:paraId="3DFA073C" w14:textId="69B62A7F" w:rsidR="00152C6B" w:rsidRDefault="003D4906" w:rsidP="001D3BBB">
      <w:r>
        <w:t>”I</w:t>
      </w:r>
      <w:r w:rsidR="00363B49">
        <w:t xml:space="preserve"> innovationsprojektet</w:t>
      </w:r>
      <w:r>
        <w:t xml:space="preserve"> Weat</w:t>
      </w:r>
      <w:r w:rsidR="007F098E">
        <w:t>h</w:t>
      </w:r>
      <w:r>
        <w:t>er2</w:t>
      </w:r>
      <w:r w:rsidR="003D2510">
        <w:t>X</w:t>
      </w:r>
      <w:r w:rsidR="008432D8">
        <w:t xml:space="preserve"> </w:t>
      </w:r>
      <w:r w:rsidR="009B5C18">
        <w:t>ønsker vi</w:t>
      </w:r>
      <w:r w:rsidR="00363B49">
        <w:t xml:space="preserve"> </w:t>
      </w:r>
      <w:r w:rsidR="009B5C18">
        <w:t>at</w:t>
      </w:r>
      <w:r w:rsidR="00D32F67">
        <w:t xml:space="preserve"> f</w:t>
      </w:r>
      <w:r w:rsidR="009B5C18">
        <w:t xml:space="preserve">orbedre de modeller, der konverterer vejr til energi. </w:t>
      </w:r>
      <w:r w:rsidR="00B833C1">
        <w:t xml:space="preserve">Ved at forbedre </w:t>
      </w:r>
      <w:r w:rsidR="00C23F67">
        <w:t xml:space="preserve">energiprognosernes </w:t>
      </w:r>
      <w:r w:rsidR="003F6113">
        <w:t>nøjagtighed</w:t>
      </w:r>
      <w:r w:rsidR="00F26236">
        <w:t xml:space="preserve"> </w:t>
      </w:r>
      <w:r w:rsidR="003F6113">
        <w:t>med op til ti procent</w:t>
      </w:r>
      <w:r w:rsidR="00AD6EFE">
        <w:t xml:space="preserve"> </w:t>
      </w:r>
      <w:r w:rsidR="00B833C1">
        <w:t xml:space="preserve">kan vi tilsvarende </w:t>
      </w:r>
      <w:r w:rsidR="003F6113">
        <w:t>optimere</w:t>
      </w:r>
      <w:r w:rsidR="00B833C1">
        <w:t xml:space="preserve"> energiproduktionen</w:t>
      </w:r>
      <w:r w:rsidR="00BD732E">
        <w:t xml:space="preserve"> fra vedvarende energikilder og de ydelser, der understøtter produktionen, når der ikke er sol eller vind</w:t>
      </w:r>
      <w:r w:rsidR="00152C6B">
        <w:t xml:space="preserve">,” siger Mikkel Westenholz og fortsætter: </w:t>
      </w:r>
    </w:p>
    <w:p w14:paraId="74FFE1FF" w14:textId="51AD0950" w:rsidR="00CB1DED" w:rsidRDefault="00152C6B">
      <w:r>
        <w:t>”</w:t>
      </w:r>
      <w:r w:rsidR="00BD732E">
        <w:t xml:space="preserve">Vi forventer, at </w:t>
      </w:r>
      <w:r>
        <w:t>det nye samarbejde kan</w:t>
      </w:r>
      <w:r w:rsidR="00B833C1">
        <w:t xml:space="preserve"> spare tid og penge for vores nøglekunder, der </w:t>
      </w:r>
      <w:r w:rsidR="00C23F67">
        <w:t xml:space="preserve">både </w:t>
      </w:r>
      <w:r w:rsidR="00B833C1">
        <w:t xml:space="preserve">er systemoperatører </w:t>
      </w:r>
      <w:r w:rsidR="00C23F67">
        <w:t>og</w:t>
      </w:r>
      <w:r w:rsidR="00B833C1">
        <w:t xml:space="preserve"> </w:t>
      </w:r>
      <w:r w:rsidR="00D50A97">
        <w:t xml:space="preserve">dem, der handler med strøm. Det er fx ejere af aktiver som </w:t>
      </w:r>
      <w:r w:rsidR="00E75504">
        <w:t>Ørsted eller Vattenfall</w:t>
      </w:r>
      <w:r w:rsidR="0037111C">
        <w:t xml:space="preserve"> –</w:t>
      </w:r>
      <w:r w:rsidR="00E75504">
        <w:t xml:space="preserve"> eller </w:t>
      </w:r>
      <w:proofErr w:type="spellStart"/>
      <w:r w:rsidR="00E75504">
        <w:t>elhandlere</w:t>
      </w:r>
      <w:proofErr w:type="spellEnd"/>
      <w:r w:rsidR="007F098E">
        <w:t>,</w:t>
      </w:r>
      <w:r w:rsidR="00E75504">
        <w:t xml:space="preserve"> der ikke selv ejer produktionen. For dem alle gælder det, at </w:t>
      </w:r>
      <w:r w:rsidR="000A4ED0">
        <w:t xml:space="preserve">upræcise </w:t>
      </w:r>
      <w:r w:rsidR="00C23F67">
        <w:t>energi</w:t>
      </w:r>
      <w:r w:rsidR="000A4ED0">
        <w:t xml:space="preserve">prognoser </w:t>
      </w:r>
      <w:r w:rsidR="002626A9">
        <w:t xml:space="preserve">kan forårsage huller i det net, de køber </w:t>
      </w:r>
      <w:r w:rsidR="00E57D60">
        <w:t xml:space="preserve">og leverer </w:t>
      </w:r>
      <w:r w:rsidR="002626A9">
        <w:t xml:space="preserve">strøm til – og de huller skal fyldes </w:t>
      </w:r>
      <w:r w:rsidR="00AD6EFE">
        <w:t xml:space="preserve">med strøm, der </w:t>
      </w:r>
      <w:r w:rsidR="00B12481">
        <w:t xml:space="preserve">så </w:t>
      </w:r>
      <w:r w:rsidR="00AD6EFE">
        <w:t>bliver dyrere at købe</w:t>
      </w:r>
      <w:r w:rsidR="00E57D60">
        <w:t xml:space="preserve"> på den korte bane</w:t>
      </w:r>
      <w:r w:rsidR="00AD6EFE">
        <w:t xml:space="preserve">,” siger Mikkel </w:t>
      </w:r>
      <w:r w:rsidR="00AD6EFE" w:rsidRPr="00011FA2">
        <w:t>Westenholz</w:t>
      </w:r>
      <w:r w:rsidR="00AD6EFE">
        <w:t xml:space="preserve">. </w:t>
      </w:r>
    </w:p>
    <w:p w14:paraId="737FD745" w14:textId="07303D25" w:rsidR="00F24AB7" w:rsidRDefault="00FD6C5E">
      <w:r>
        <w:rPr>
          <w:b/>
          <w:bCs/>
        </w:rPr>
        <w:t xml:space="preserve">Styr på balancen </w:t>
      </w:r>
      <w:r>
        <w:br/>
      </w:r>
      <w:r w:rsidR="00DE2242" w:rsidRPr="00CB1DED">
        <w:t>Weather2X er støttet af Det Energiteknologiske Udviklings- og Demonstrationsprogram (EUDP)</w:t>
      </w:r>
      <w:r w:rsidR="002E0F23">
        <w:t xml:space="preserve"> og har en partnerkreds, der består af </w:t>
      </w:r>
      <w:r w:rsidR="00DE2242" w:rsidRPr="00CB1DED">
        <w:t xml:space="preserve">ENFOR, DTU </w:t>
      </w:r>
      <w:proofErr w:type="spellStart"/>
      <w:r w:rsidR="00DE2242" w:rsidRPr="00CB1DED">
        <w:t>Compute</w:t>
      </w:r>
      <w:proofErr w:type="spellEnd"/>
      <w:r w:rsidR="00DE2242" w:rsidRPr="00CB1DED">
        <w:t xml:space="preserve">, DTU Wind &amp; Energy Systems, </w:t>
      </w:r>
      <w:r w:rsidR="00B94D05">
        <w:t>DMI</w:t>
      </w:r>
      <w:r w:rsidR="00DE2242" w:rsidRPr="00CB1DED">
        <w:t>, Vattenfall</w:t>
      </w:r>
      <w:r w:rsidR="002E0F23">
        <w:t xml:space="preserve"> og</w:t>
      </w:r>
      <w:r w:rsidR="00DE2242" w:rsidRPr="00CB1DED">
        <w:t xml:space="preserve"> Ørsted.</w:t>
      </w:r>
      <w:r w:rsidR="002E0F23">
        <w:t xml:space="preserve"> </w:t>
      </w:r>
    </w:p>
    <w:p w14:paraId="6D0055CD" w14:textId="33242653" w:rsidR="002C6599" w:rsidRDefault="00E57D60">
      <w:r>
        <w:t xml:space="preserve">Danmarks nationale energiklynge, </w:t>
      </w:r>
      <w:r w:rsidR="002E0F23">
        <w:t>Energy Cluster Denmark</w:t>
      </w:r>
      <w:r>
        <w:t>,</w:t>
      </w:r>
      <w:r w:rsidR="002E0F23">
        <w:t xml:space="preserve"> faciliterer </w:t>
      </w:r>
      <w:r w:rsidR="00544BCA">
        <w:t>innovationsprojektet</w:t>
      </w:r>
      <w:r w:rsidR="004430F2">
        <w:t>,</w:t>
      </w:r>
      <w:r w:rsidR="002C6599">
        <w:t xml:space="preserve"> der blandt andet bygger videre på erfaringer fra</w:t>
      </w:r>
      <w:r w:rsidR="00F24AB7">
        <w:t xml:space="preserve"> et</w:t>
      </w:r>
      <w:r w:rsidR="002C6599">
        <w:t xml:space="preserve"> tidliger</w:t>
      </w:r>
      <w:r w:rsidR="003108F8">
        <w:t>e</w:t>
      </w:r>
      <w:r w:rsidR="00F24AB7">
        <w:t xml:space="preserve"> </w:t>
      </w:r>
      <w:r w:rsidR="003108F8">
        <w:t>samarbejde</w:t>
      </w:r>
      <w:r w:rsidR="002F2D7A">
        <w:t xml:space="preserve">, </w:t>
      </w:r>
      <w:r w:rsidR="002455C6">
        <w:t xml:space="preserve">innovationsprojektet </w:t>
      </w:r>
      <w:proofErr w:type="spellStart"/>
      <w:r w:rsidR="002455C6">
        <w:t>Eurogrid</w:t>
      </w:r>
      <w:proofErr w:type="spellEnd"/>
      <w:r w:rsidR="002F2D7A">
        <w:t>. Her arbejdede</w:t>
      </w:r>
      <w:r w:rsidR="00F01CBF">
        <w:t xml:space="preserve"> Ørsted, ENFOR, DTU og flere andre partnere </w:t>
      </w:r>
      <w:r w:rsidR="002F2D7A">
        <w:t>sammen</w:t>
      </w:r>
      <w:r w:rsidR="00F01CBF">
        <w:t xml:space="preserve"> om en digital prognoseplatform, der har sparet energisektoren for</w:t>
      </w:r>
      <w:r w:rsidR="00D411E7">
        <w:t xml:space="preserve"> et stort millionbeløb</w:t>
      </w:r>
      <w:r w:rsidR="003B7854">
        <w:t>.</w:t>
      </w:r>
      <w:r w:rsidR="00F01CBF">
        <w:t xml:space="preserve"> </w:t>
      </w:r>
    </w:p>
    <w:p w14:paraId="6491697D" w14:textId="77777777" w:rsidR="002F2D7A" w:rsidRDefault="00F01CBF">
      <w:r>
        <w:t xml:space="preserve">I det nye projektpartnerskab, Weather2X, </w:t>
      </w:r>
      <w:r w:rsidR="00DD70C6">
        <w:t xml:space="preserve">skal de medvirkende virksomheder og forskere blandt andet </w:t>
      </w:r>
      <w:r w:rsidR="00F24AB7">
        <w:t xml:space="preserve">optimere </w:t>
      </w:r>
      <w:r w:rsidR="00BF1F78">
        <w:t>energi</w:t>
      </w:r>
      <w:r w:rsidR="00F24AB7">
        <w:t xml:space="preserve">prognoser </w:t>
      </w:r>
      <w:r w:rsidR="00CC7A26">
        <w:t xml:space="preserve">med afsæt i erfaringerne fra </w:t>
      </w:r>
      <w:proofErr w:type="spellStart"/>
      <w:r w:rsidR="00CC7A26">
        <w:t>Eurogrid</w:t>
      </w:r>
      <w:proofErr w:type="spellEnd"/>
      <w:r w:rsidR="00CC7A26">
        <w:t xml:space="preserve"> – og nu også med et øget fokus på åbne datasæt mellem partnerne</w:t>
      </w:r>
      <w:r w:rsidR="0037111C">
        <w:t xml:space="preserve">. </w:t>
      </w:r>
    </w:p>
    <w:p w14:paraId="4C9A7C9C" w14:textId="0CDF10BA" w:rsidR="00DE2242" w:rsidRDefault="0037111C">
      <w:r>
        <w:t>Det f</w:t>
      </w:r>
      <w:r w:rsidR="00F24AB7">
        <w:t xml:space="preserve">ortæller </w:t>
      </w:r>
      <w:r w:rsidR="00A95AB1" w:rsidRPr="00011FA2">
        <w:t xml:space="preserve">Jan Hvidberg, </w:t>
      </w:r>
      <w:proofErr w:type="spellStart"/>
      <w:r w:rsidR="00A95AB1" w:rsidRPr="00011FA2">
        <w:t>Lead</w:t>
      </w:r>
      <w:proofErr w:type="spellEnd"/>
      <w:r w:rsidR="00A95AB1" w:rsidRPr="00011FA2">
        <w:t xml:space="preserve"> Analyst</w:t>
      </w:r>
      <w:r w:rsidR="008276AC">
        <w:t xml:space="preserve"> i</w:t>
      </w:r>
      <w:r w:rsidR="00A95AB1" w:rsidRPr="00011FA2">
        <w:t xml:space="preserve"> Ørsted</w:t>
      </w:r>
      <w:r w:rsidR="00A95AB1">
        <w:t xml:space="preserve">. </w:t>
      </w:r>
    </w:p>
    <w:p w14:paraId="0A1670B1" w14:textId="04C56122" w:rsidR="0076478A" w:rsidRDefault="00A95AB1">
      <w:r>
        <w:t>”</w:t>
      </w:r>
      <w:r w:rsidR="00FA0B08">
        <w:t xml:space="preserve">I stedet for at forlænge verden med brædder fra et enkelt punkt, kan man gøre det med mange brædder fra mange regioner. Det kan skabe en god gevinst </w:t>
      </w:r>
      <w:r w:rsidR="008276AC">
        <w:t>i en</w:t>
      </w:r>
      <w:r w:rsidR="00FA0B08">
        <w:t xml:space="preserve"> kort tidshorisont.</w:t>
      </w:r>
      <w:r>
        <w:t xml:space="preserve"> </w:t>
      </w:r>
      <w:r w:rsidR="00E101D9">
        <w:t xml:space="preserve">Jeg håber også, vi står med rigtig gode </w:t>
      </w:r>
      <w:r w:rsidR="00B94D05">
        <w:t>energi</w:t>
      </w:r>
      <w:r w:rsidR="00E101D9">
        <w:t>prognoser i sidste ende</w:t>
      </w:r>
      <w:r w:rsidR="00E57D60">
        <w:t xml:space="preserve"> af innovations</w:t>
      </w:r>
      <w:r w:rsidR="002C6599">
        <w:t>projektet</w:t>
      </w:r>
      <w:r w:rsidR="002015B8">
        <w:t xml:space="preserve">. </w:t>
      </w:r>
      <w:r w:rsidR="002D5DC6">
        <w:t>I den seneste weekend</w:t>
      </w:r>
      <w:r w:rsidR="006E3AA3">
        <w:t xml:space="preserve"> har vi fx stoppet vores kraftværker og leveret al strømmen fra vind og vores kedelværker. Det kræver</w:t>
      </w:r>
      <w:r w:rsidR="00C23F67">
        <w:t xml:space="preserve"> bl</w:t>
      </w:r>
      <w:r w:rsidR="002F2D7A">
        <w:t>andt andet</w:t>
      </w:r>
      <w:r w:rsidR="006E3AA3">
        <w:t>, at man har styr på sin</w:t>
      </w:r>
      <w:r w:rsidR="002D5DC6">
        <w:t>e vejrprognoser</w:t>
      </w:r>
      <w:r w:rsidR="006E3AA3">
        <w:t xml:space="preserve"> for at gøre det</w:t>
      </w:r>
      <w:r w:rsidR="002015B8">
        <w:t>, og den kontrol regner vi med at blive endnu bedre til gennem Weather2X,</w:t>
      </w:r>
      <w:r w:rsidR="002D5DC6">
        <w:t xml:space="preserve">” siger </w:t>
      </w:r>
      <w:r w:rsidR="0076478A" w:rsidRPr="00011FA2">
        <w:t>Jan Hvidberg</w:t>
      </w:r>
      <w:r w:rsidR="00DE5659">
        <w:t xml:space="preserve">. </w:t>
      </w:r>
    </w:p>
    <w:p w14:paraId="6EC10D95" w14:textId="45C05EA4" w:rsidR="000010EC" w:rsidRDefault="00540809" w:rsidP="004D42B7">
      <w:r>
        <w:rPr>
          <w:b/>
          <w:bCs/>
        </w:rPr>
        <w:lastRenderedPageBreak/>
        <w:t xml:space="preserve">Målinger i mølletoppen </w:t>
      </w:r>
      <w:r w:rsidR="00B4064B">
        <w:rPr>
          <w:b/>
          <w:bCs/>
        </w:rPr>
        <w:t xml:space="preserve"> </w:t>
      </w:r>
      <w:r w:rsidR="00B4064B">
        <w:rPr>
          <w:b/>
          <w:bCs/>
        </w:rPr>
        <w:br/>
      </w:r>
      <w:r w:rsidR="000010EC">
        <w:t>DMI</w:t>
      </w:r>
      <w:r w:rsidR="00240615">
        <w:t xml:space="preserve"> </w:t>
      </w:r>
      <w:r w:rsidR="000010EC">
        <w:t>har</w:t>
      </w:r>
      <w:r w:rsidR="00B94D05">
        <w:t xml:space="preserve"> i mange år leveret udvalgte vejrdata</w:t>
      </w:r>
      <w:r w:rsidR="002879B1">
        <w:t xml:space="preserve"> til energisektoren</w:t>
      </w:r>
      <w:r w:rsidR="002F2D7A">
        <w:t xml:space="preserve"> – et produkt man i lang tid har ønsket at forbedre, </w:t>
      </w:r>
      <w:r w:rsidR="000010EC">
        <w:t xml:space="preserve">fortæller Henrik Vedel, senior </w:t>
      </w:r>
      <w:proofErr w:type="spellStart"/>
      <w:r w:rsidR="000010EC">
        <w:t>scientist</w:t>
      </w:r>
      <w:proofErr w:type="spellEnd"/>
      <w:r w:rsidR="000010EC">
        <w:t xml:space="preserve"> ved DMI</w:t>
      </w:r>
      <w:r w:rsidR="00252FEA">
        <w:t>:</w:t>
      </w:r>
    </w:p>
    <w:p w14:paraId="64C6D822" w14:textId="6793C7B1" w:rsidR="0076116A" w:rsidRDefault="000010EC" w:rsidP="004D42B7">
      <w:r>
        <w:t>”</w:t>
      </w:r>
      <w:r w:rsidR="00B94D05">
        <w:t>Vi mangler den rette type målinger at sammenligne med, så vi kan finjustere vores modeller.</w:t>
      </w:r>
      <w:r w:rsidR="003B5F07">
        <w:t xml:space="preserve"> </w:t>
      </w:r>
      <w:r w:rsidR="00804018">
        <w:t>Normale meteorologiske observationer</w:t>
      </w:r>
      <w:r w:rsidR="0076116A">
        <w:t xml:space="preserve"> af vind </w:t>
      </w:r>
      <w:r w:rsidR="00240615">
        <w:t>foretages</w:t>
      </w:r>
      <w:r w:rsidR="0076116A">
        <w:t xml:space="preserve"> i 10 m</w:t>
      </w:r>
      <w:r w:rsidR="00235816">
        <w:t>eters</w:t>
      </w:r>
      <w:r w:rsidR="0076116A">
        <w:t xml:space="preserve"> højde </w:t>
      </w:r>
      <w:r w:rsidR="002F2D7A">
        <w:t xml:space="preserve">og </w:t>
      </w:r>
      <w:r w:rsidR="0076116A">
        <w:t>temperatur</w:t>
      </w:r>
      <w:r>
        <w:t xml:space="preserve"> observeres</w:t>
      </w:r>
      <w:r w:rsidR="0076116A">
        <w:t xml:space="preserve"> i </w:t>
      </w:r>
      <w:r>
        <w:t>to</w:t>
      </w:r>
      <w:r w:rsidR="0076116A">
        <w:t xml:space="preserve"> m</w:t>
      </w:r>
      <w:r w:rsidR="00235816">
        <w:t>eters</w:t>
      </w:r>
      <w:r w:rsidR="0076116A">
        <w:t xml:space="preserve"> højde. </w:t>
      </w:r>
      <w:r w:rsidR="002879B1">
        <w:t>V</w:t>
      </w:r>
      <w:r w:rsidR="0076116A">
        <w:t>indmøller</w:t>
      </w:r>
      <w:r w:rsidR="002879B1">
        <w:t>s vinger snurrer</w:t>
      </w:r>
      <w:r w:rsidR="0076116A">
        <w:t xml:space="preserve"> i højder fra ca. 50</w:t>
      </w:r>
      <w:r>
        <w:t>-</w:t>
      </w:r>
      <w:r w:rsidR="0076116A">
        <w:t>250 m</w:t>
      </w:r>
      <w:r>
        <w:t>eter</w:t>
      </w:r>
      <w:r w:rsidR="0076116A">
        <w:t xml:space="preserve">. </w:t>
      </w:r>
      <w:r w:rsidR="00804018">
        <w:t>Deroppe blæser det mere end nær jorden</w:t>
      </w:r>
      <w:r w:rsidR="00240615">
        <w:t xml:space="preserve">, </w:t>
      </w:r>
      <w:r>
        <w:t>og hvor</w:t>
      </w:r>
      <w:r w:rsidR="00804018">
        <w:t xml:space="preserve"> stor forskellen er</w:t>
      </w:r>
      <w:r w:rsidR="007F098E">
        <w:t>,</w:t>
      </w:r>
      <w:r w:rsidR="00705A63">
        <w:t xml:space="preserve"> </w:t>
      </w:r>
      <w:r w:rsidR="00804018">
        <w:t xml:space="preserve">afhænger af vejret. </w:t>
      </w:r>
      <w:r w:rsidR="0076116A">
        <w:t xml:space="preserve">DMI har </w:t>
      </w:r>
      <w:r w:rsidR="002879B1">
        <w:t>stort set</w:t>
      </w:r>
      <w:r w:rsidR="0076116A">
        <w:t xml:space="preserve"> ingen</w:t>
      </w:r>
      <w:r w:rsidR="002879B1">
        <w:t xml:space="preserve"> </w:t>
      </w:r>
      <w:r w:rsidR="0076116A">
        <w:t>observationer fra de højde</w:t>
      </w:r>
      <w:r w:rsidR="00804018">
        <w:t>r</w:t>
      </w:r>
      <w:r w:rsidR="0076116A">
        <w:t>, hverken af vinden eller af den energi</w:t>
      </w:r>
      <w:r>
        <w:t>,</w:t>
      </w:r>
      <w:r w:rsidR="0076116A">
        <w:t xml:space="preserve"> møllerne producerer, hvilket umulig</w:t>
      </w:r>
      <w:r w:rsidR="00804018">
        <w:t>g</w:t>
      </w:r>
      <w:r w:rsidR="0076116A">
        <w:t xml:space="preserve">ør en effektiv verifikation af vores </w:t>
      </w:r>
      <w:r w:rsidR="00D56A31">
        <w:t>prognoser</w:t>
      </w:r>
      <w:r w:rsidR="00513E4E">
        <w:t>,</w:t>
      </w:r>
      <w:r>
        <w:t>” siger Henrik Vedel, der som partner i Weather2X nu får adgang til energisektorens observationer, blandt andet gennem måleudstyr på møllerne.</w:t>
      </w:r>
    </w:p>
    <w:p w14:paraId="71625F21" w14:textId="1601AB29" w:rsidR="004D42B7" w:rsidRDefault="000010EC" w:rsidP="004D42B7">
      <w:r>
        <w:t>”</w:t>
      </w:r>
      <w:r w:rsidR="0076116A">
        <w:t xml:space="preserve">Det er en </w:t>
      </w:r>
      <w:r w:rsidR="00804018">
        <w:t xml:space="preserve">af </w:t>
      </w:r>
      <w:r w:rsidR="0076116A">
        <w:t>hovedårsag</w:t>
      </w:r>
      <w:r w:rsidR="00804018">
        <w:t>erne</w:t>
      </w:r>
      <w:r w:rsidR="0076116A">
        <w:t xml:space="preserve"> til</w:t>
      </w:r>
      <w:r>
        <w:t>,</w:t>
      </w:r>
      <w:r w:rsidR="0076116A">
        <w:t xml:space="preserve"> at DMI er</w:t>
      </w:r>
      <w:r w:rsidR="002879B1">
        <w:t xml:space="preserve"> </w:t>
      </w:r>
      <w:r w:rsidR="004D42B7">
        <w:t>med i innovationsprojektet</w:t>
      </w:r>
      <w:r>
        <w:t>. Her</w:t>
      </w:r>
      <w:r w:rsidR="00240615">
        <w:t xml:space="preserve"> </w:t>
      </w:r>
      <w:r>
        <w:t>forventer vi,</w:t>
      </w:r>
      <w:r w:rsidR="004D42B7">
        <w:t xml:space="preserve"> sammen med vores </w:t>
      </w:r>
      <w:r w:rsidR="00540809">
        <w:t>kompetente</w:t>
      </w:r>
      <w:r w:rsidR="004D42B7">
        <w:t xml:space="preserve"> partnere</w:t>
      </w:r>
      <w:r>
        <w:t xml:space="preserve">, </w:t>
      </w:r>
      <w:r w:rsidR="004D42B7">
        <w:t xml:space="preserve">at blive bedre til at forudsige vinden </w:t>
      </w:r>
      <w:r w:rsidR="00235816">
        <w:t>oppe</w:t>
      </w:r>
      <w:r w:rsidR="007F098E">
        <w:t>,</w:t>
      </w:r>
      <w:r w:rsidR="00235816">
        <w:t xml:space="preserve"> hvor vindmøllerne arbejder</w:t>
      </w:r>
      <w:r>
        <w:t xml:space="preserve">. Det samme gælder </w:t>
      </w:r>
      <w:r w:rsidR="00D56A31">
        <w:t xml:space="preserve">prognoser </w:t>
      </w:r>
      <w:r>
        <w:t>af</w:t>
      </w:r>
      <w:r w:rsidR="0076116A">
        <w:t xml:space="preserve"> solstrålingen </w:t>
      </w:r>
      <w:r w:rsidR="004D42B7">
        <w:t>overalt i det danske område</w:t>
      </w:r>
      <w:r w:rsidR="002879B1">
        <w:t>.</w:t>
      </w:r>
      <w:r w:rsidR="00235816">
        <w:t xml:space="preserve"> Vi forv</w:t>
      </w:r>
      <w:r w:rsidR="002879B1">
        <w:t>enter</w:t>
      </w:r>
      <w:r w:rsidR="007F098E">
        <w:t>,</w:t>
      </w:r>
      <w:r w:rsidR="002879B1">
        <w:t xml:space="preserve"> at et</w:t>
      </w:r>
      <w:r w:rsidR="00235816">
        <w:t xml:space="preserve"> tættere samarbejde med de store aktører i den vedvarende energisektor vil føre til forbedringer, som er til gavn for sektoren selv og for DMI</w:t>
      </w:r>
      <w:r w:rsidR="007F098E">
        <w:t>’</w:t>
      </w:r>
      <w:r w:rsidR="00235816">
        <w:t>s modeller</w:t>
      </w:r>
      <w:r w:rsidR="00513E4E">
        <w:t>,</w:t>
      </w:r>
      <w:r w:rsidR="002879B1">
        <w:t xml:space="preserve">” </w:t>
      </w:r>
      <w:r w:rsidR="00513E4E">
        <w:t>siger</w:t>
      </w:r>
      <w:r w:rsidR="002879B1">
        <w:t xml:space="preserve"> Henrik Vedel</w:t>
      </w:r>
      <w:r>
        <w:t>.</w:t>
      </w:r>
    </w:p>
    <w:p w14:paraId="3E842026" w14:textId="3690CC90" w:rsidR="00673565" w:rsidRDefault="00235816" w:rsidP="00673565">
      <w:r>
        <w:t>Den naturgivne variation i produktionen af el fra vind og sol medfører store udgifter til balancering af det danske elnet</w:t>
      </w:r>
      <w:r w:rsidR="000010EC">
        <w:t>, viser tal fra Energinet.</w:t>
      </w:r>
      <w:r w:rsidR="002F2D7A">
        <w:t xml:space="preserve"> Samfundets udgifter til systemydelser og reservekraft, der sikrer et stabilt </w:t>
      </w:r>
      <w:proofErr w:type="spellStart"/>
      <w:r w:rsidR="002F2D7A">
        <w:t>elsystem</w:t>
      </w:r>
      <w:proofErr w:type="spellEnd"/>
      <w:r w:rsidR="002F2D7A">
        <w:t>, var i 2022 på 2,7 mia. kroner.</w:t>
      </w:r>
      <w:r w:rsidR="00240615">
        <w:t xml:space="preserve"> Ifølge partnerne i Weather2X vil b</w:t>
      </w:r>
      <w:r w:rsidR="00705A63">
        <w:t>edre prognoser reducere de udgifter</w:t>
      </w:r>
      <w:r w:rsidR="00240615">
        <w:t>, og s</w:t>
      </w:r>
      <w:r w:rsidR="00FA0F10">
        <w:t xml:space="preserve">elv mindre forbedringer vil medføre store besparelser, </w:t>
      </w:r>
      <w:r w:rsidR="00240615">
        <w:t>der kan</w:t>
      </w:r>
      <w:r w:rsidR="00FA0F10">
        <w:t xml:space="preserve"> reducere udgifterne ved en fuld overgang til </w:t>
      </w:r>
      <w:r w:rsidR="000010EC">
        <w:t>et energisystem</w:t>
      </w:r>
      <w:r w:rsidR="008E7000">
        <w:t xml:space="preserve"> baseret på vedvarende energikilder</w:t>
      </w:r>
      <w:r w:rsidR="000010EC">
        <w:t>.</w:t>
      </w:r>
      <w:r w:rsidR="000010EC" w:rsidDel="000010EC">
        <w:t xml:space="preserve"> </w:t>
      </w:r>
    </w:p>
    <w:p w14:paraId="4CFF83EE" w14:textId="4ACCF57B" w:rsidR="00CB1DED" w:rsidRPr="00CB1DED" w:rsidRDefault="00811BA6">
      <w:r w:rsidRPr="00CB1DED">
        <w:rPr>
          <w:b/>
          <w:bCs/>
        </w:rPr>
        <w:t>Fakta</w:t>
      </w:r>
      <w:r>
        <w:rPr>
          <w:b/>
          <w:bCs/>
        </w:rPr>
        <w:t xml:space="preserve"> om Weather2X</w:t>
      </w:r>
      <w:r>
        <w:br/>
      </w:r>
      <w:r w:rsidRPr="00CB1DED">
        <w:t>Innovationsprojektet Weather2X er støttet af Det Energiteknologiske Udviklings- og Demonstrationsprogram (EUDP). Projektet begyndte i januar 2024 og slutter i december 202</w:t>
      </w:r>
      <w:r w:rsidR="00D56A31">
        <w:t>6</w:t>
      </w:r>
      <w:r w:rsidRPr="00CB1DED">
        <w:t>. Det samlede budget er på 14,</w:t>
      </w:r>
      <w:r w:rsidR="00D56A31">
        <w:t>4</w:t>
      </w:r>
      <w:r w:rsidRPr="00CB1DED">
        <w:t xml:space="preserve"> mio. kroner og partnerkredsen består af: ENFOR, DTU </w:t>
      </w:r>
      <w:proofErr w:type="spellStart"/>
      <w:r w:rsidRPr="00CB1DED">
        <w:t>Compute</w:t>
      </w:r>
      <w:proofErr w:type="spellEnd"/>
      <w:r w:rsidRPr="00CB1DED">
        <w:t>, DTU Wind &amp; Energy Systems, Danmarks Meteorologiske Institut, Vattenfall, Ørsted og Energy Cluster Denmark.</w:t>
      </w:r>
    </w:p>
    <w:sectPr w:rsidR="00CB1DED" w:rsidRPr="00CB1DE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AF00" w14:textId="77777777" w:rsidR="00A20DDC" w:rsidRDefault="00A20DDC" w:rsidP="00CB1DED">
      <w:pPr>
        <w:spacing w:after="0" w:line="240" w:lineRule="auto"/>
      </w:pPr>
      <w:r>
        <w:separator/>
      </w:r>
    </w:p>
  </w:endnote>
  <w:endnote w:type="continuationSeparator" w:id="0">
    <w:p w14:paraId="4CE067EB" w14:textId="77777777" w:rsidR="00A20DDC" w:rsidRDefault="00A20DDC" w:rsidP="00CB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262A" w14:textId="77777777" w:rsidR="00A20DDC" w:rsidRDefault="00A20DDC" w:rsidP="00CB1DED">
      <w:pPr>
        <w:spacing w:after="0" w:line="240" w:lineRule="auto"/>
      </w:pPr>
      <w:r>
        <w:separator/>
      </w:r>
    </w:p>
  </w:footnote>
  <w:footnote w:type="continuationSeparator" w:id="0">
    <w:p w14:paraId="7D1DE762" w14:textId="77777777" w:rsidR="00A20DDC" w:rsidRDefault="00A20DDC" w:rsidP="00CB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11F5" w14:textId="5DF386F1" w:rsidR="00CB1DED" w:rsidRPr="00CB1DED" w:rsidRDefault="00CB1DED">
    <w:pPr>
      <w:pStyle w:val="Sidehoved"/>
      <w:rPr>
        <w:b/>
        <w:bCs/>
        <w:i/>
        <w:iCs/>
      </w:rPr>
    </w:pPr>
    <w:r w:rsidRPr="00CB1DED">
      <w:rPr>
        <w:b/>
        <w:bCs/>
        <w:i/>
        <w:iCs/>
      </w:rPr>
      <w:t>Pressemeddelelse, Weather2X - udkast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C6CE3"/>
    <w:multiLevelType w:val="hybridMultilevel"/>
    <w:tmpl w:val="2176236E"/>
    <w:lvl w:ilvl="0" w:tplc="AC8E3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D"/>
    <w:rsid w:val="000010EC"/>
    <w:rsid w:val="00003F14"/>
    <w:rsid w:val="00011FA2"/>
    <w:rsid w:val="00012708"/>
    <w:rsid w:val="0001411D"/>
    <w:rsid w:val="00022972"/>
    <w:rsid w:val="0002423A"/>
    <w:rsid w:val="00024F14"/>
    <w:rsid w:val="00045576"/>
    <w:rsid w:val="00076308"/>
    <w:rsid w:val="000A4ED0"/>
    <w:rsid w:val="000C7DD7"/>
    <w:rsid w:val="0011601E"/>
    <w:rsid w:val="001447C0"/>
    <w:rsid w:val="00152C6B"/>
    <w:rsid w:val="00162D1F"/>
    <w:rsid w:val="00176620"/>
    <w:rsid w:val="00180A73"/>
    <w:rsid w:val="001D3BBB"/>
    <w:rsid w:val="001F602C"/>
    <w:rsid w:val="002015B8"/>
    <w:rsid w:val="0022288D"/>
    <w:rsid w:val="00235816"/>
    <w:rsid w:val="00240615"/>
    <w:rsid w:val="002455C6"/>
    <w:rsid w:val="00252FEA"/>
    <w:rsid w:val="00261CC8"/>
    <w:rsid w:val="002626A9"/>
    <w:rsid w:val="00276C0C"/>
    <w:rsid w:val="00276D8D"/>
    <w:rsid w:val="00285C9E"/>
    <w:rsid w:val="002879B1"/>
    <w:rsid w:val="0029485B"/>
    <w:rsid w:val="002A126F"/>
    <w:rsid w:val="002B0739"/>
    <w:rsid w:val="002C6599"/>
    <w:rsid w:val="002D03C9"/>
    <w:rsid w:val="002D5DC6"/>
    <w:rsid w:val="002D730C"/>
    <w:rsid w:val="002E0F23"/>
    <w:rsid w:val="002F2D7A"/>
    <w:rsid w:val="003108F8"/>
    <w:rsid w:val="00317F13"/>
    <w:rsid w:val="003323D0"/>
    <w:rsid w:val="0033671F"/>
    <w:rsid w:val="00344F76"/>
    <w:rsid w:val="003465DC"/>
    <w:rsid w:val="00363B49"/>
    <w:rsid w:val="0037111C"/>
    <w:rsid w:val="0038190F"/>
    <w:rsid w:val="003B5F07"/>
    <w:rsid w:val="003B7854"/>
    <w:rsid w:val="003C0CBE"/>
    <w:rsid w:val="003D2510"/>
    <w:rsid w:val="003D4906"/>
    <w:rsid w:val="003F50EF"/>
    <w:rsid w:val="003F6113"/>
    <w:rsid w:val="00414927"/>
    <w:rsid w:val="004150CB"/>
    <w:rsid w:val="00427C82"/>
    <w:rsid w:val="00436C1F"/>
    <w:rsid w:val="004430F2"/>
    <w:rsid w:val="00443603"/>
    <w:rsid w:val="004B25E2"/>
    <w:rsid w:val="004C5C86"/>
    <w:rsid w:val="004D42B7"/>
    <w:rsid w:val="00504E4A"/>
    <w:rsid w:val="005129A3"/>
    <w:rsid w:val="00513E4E"/>
    <w:rsid w:val="005230C8"/>
    <w:rsid w:val="005362BF"/>
    <w:rsid w:val="00540809"/>
    <w:rsid w:val="00544BCA"/>
    <w:rsid w:val="00554431"/>
    <w:rsid w:val="005C5FAB"/>
    <w:rsid w:val="005D2EB6"/>
    <w:rsid w:val="005D47A3"/>
    <w:rsid w:val="005D7A63"/>
    <w:rsid w:val="005E1AA0"/>
    <w:rsid w:val="005F238D"/>
    <w:rsid w:val="005F7BE7"/>
    <w:rsid w:val="00621C46"/>
    <w:rsid w:val="006243D3"/>
    <w:rsid w:val="006315E2"/>
    <w:rsid w:val="00633256"/>
    <w:rsid w:val="00641973"/>
    <w:rsid w:val="006528CB"/>
    <w:rsid w:val="0065337D"/>
    <w:rsid w:val="00657817"/>
    <w:rsid w:val="00670373"/>
    <w:rsid w:val="006716FF"/>
    <w:rsid w:val="00673565"/>
    <w:rsid w:val="00676A99"/>
    <w:rsid w:val="00685BED"/>
    <w:rsid w:val="006A725A"/>
    <w:rsid w:val="006B3EC8"/>
    <w:rsid w:val="006D2F53"/>
    <w:rsid w:val="006E113E"/>
    <w:rsid w:val="006E3AA3"/>
    <w:rsid w:val="006E7838"/>
    <w:rsid w:val="00705A63"/>
    <w:rsid w:val="0076116A"/>
    <w:rsid w:val="0076478A"/>
    <w:rsid w:val="007A6B2F"/>
    <w:rsid w:val="007B2CAA"/>
    <w:rsid w:val="007C0007"/>
    <w:rsid w:val="007E33B5"/>
    <w:rsid w:val="007F098E"/>
    <w:rsid w:val="00804018"/>
    <w:rsid w:val="00811BA6"/>
    <w:rsid w:val="008276AC"/>
    <w:rsid w:val="008432D8"/>
    <w:rsid w:val="00847F78"/>
    <w:rsid w:val="00853853"/>
    <w:rsid w:val="00866499"/>
    <w:rsid w:val="00893197"/>
    <w:rsid w:val="008B1E8C"/>
    <w:rsid w:val="008B44E8"/>
    <w:rsid w:val="008C03A1"/>
    <w:rsid w:val="008C5E77"/>
    <w:rsid w:val="008C7176"/>
    <w:rsid w:val="008E7000"/>
    <w:rsid w:val="008F34EF"/>
    <w:rsid w:val="00902286"/>
    <w:rsid w:val="00903EF6"/>
    <w:rsid w:val="009049B0"/>
    <w:rsid w:val="00914573"/>
    <w:rsid w:val="00922DBA"/>
    <w:rsid w:val="009461DE"/>
    <w:rsid w:val="0097265E"/>
    <w:rsid w:val="0097505B"/>
    <w:rsid w:val="00985843"/>
    <w:rsid w:val="00991797"/>
    <w:rsid w:val="009B5C18"/>
    <w:rsid w:val="009D078E"/>
    <w:rsid w:val="009D13DA"/>
    <w:rsid w:val="009D4334"/>
    <w:rsid w:val="009D5CC0"/>
    <w:rsid w:val="009E192A"/>
    <w:rsid w:val="009E5DA9"/>
    <w:rsid w:val="009F0F8F"/>
    <w:rsid w:val="00A20DDC"/>
    <w:rsid w:val="00A300BC"/>
    <w:rsid w:val="00A34BE5"/>
    <w:rsid w:val="00A40918"/>
    <w:rsid w:val="00A44BA4"/>
    <w:rsid w:val="00A52B0D"/>
    <w:rsid w:val="00A722F4"/>
    <w:rsid w:val="00A7277D"/>
    <w:rsid w:val="00A763BC"/>
    <w:rsid w:val="00A9285B"/>
    <w:rsid w:val="00A95AB1"/>
    <w:rsid w:val="00A95B3B"/>
    <w:rsid w:val="00A962E8"/>
    <w:rsid w:val="00AB57A4"/>
    <w:rsid w:val="00AD6EFE"/>
    <w:rsid w:val="00AF2F99"/>
    <w:rsid w:val="00B01CD6"/>
    <w:rsid w:val="00B12481"/>
    <w:rsid w:val="00B15ECF"/>
    <w:rsid w:val="00B220E0"/>
    <w:rsid w:val="00B4064B"/>
    <w:rsid w:val="00B4087F"/>
    <w:rsid w:val="00B665D8"/>
    <w:rsid w:val="00B70482"/>
    <w:rsid w:val="00B833C1"/>
    <w:rsid w:val="00B94D05"/>
    <w:rsid w:val="00B9679F"/>
    <w:rsid w:val="00BA22E0"/>
    <w:rsid w:val="00BA3346"/>
    <w:rsid w:val="00BD19AC"/>
    <w:rsid w:val="00BD732E"/>
    <w:rsid w:val="00BE4F94"/>
    <w:rsid w:val="00BE5FC8"/>
    <w:rsid w:val="00BF1F78"/>
    <w:rsid w:val="00C053FC"/>
    <w:rsid w:val="00C0744F"/>
    <w:rsid w:val="00C23F67"/>
    <w:rsid w:val="00C46DAA"/>
    <w:rsid w:val="00C5397D"/>
    <w:rsid w:val="00C54074"/>
    <w:rsid w:val="00C55950"/>
    <w:rsid w:val="00C860C5"/>
    <w:rsid w:val="00CB1530"/>
    <w:rsid w:val="00CB1DED"/>
    <w:rsid w:val="00CC5B73"/>
    <w:rsid w:val="00CC7A26"/>
    <w:rsid w:val="00CD4683"/>
    <w:rsid w:val="00CE07D2"/>
    <w:rsid w:val="00CE3379"/>
    <w:rsid w:val="00CE610D"/>
    <w:rsid w:val="00D1797D"/>
    <w:rsid w:val="00D32F67"/>
    <w:rsid w:val="00D337C8"/>
    <w:rsid w:val="00D362D7"/>
    <w:rsid w:val="00D411E7"/>
    <w:rsid w:val="00D50A97"/>
    <w:rsid w:val="00D56A31"/>
    <w:rsid w:val="00D9149E"/>
    <w:rsid w:val="00DA15B9"/>
    <w:rsid w:val="00DA18B4"/>
    <w:rsid w:val="00DA1A90"/>
    <w:rsid w:val="00DB1973"/>
    <w:rsid w:val="00DC0B64"/>
    <w:rsid w:val="00DC7921"/>
    <w:rsid w:val="00DD70C6"/>
    <w:rsid w:val="00DE2242"/>
    <w:rsid w:val="00DE5659"/>
    <w:rsid w:val="00E101D9"/>
    <w:rsid w:val="00E14402"/>
    <w:rsid w:val="00E20C1A"/>
    <w:rsid w:val="00E26C22"/>
    <w:rsid w:val="00E5272B"/>
    <w:rsid w:val="00E57D60"/>
    <w:rsid w:val="00E60BAA"/>
    <w:rsid w:val="00E75504"/>
    <w:rsid w:val="00E85693"/>
    <w:rsid w:val="00E86530"/>
    <w:rsid w:val="00E96C40"/>
    <w:rsid w:val="00EA1BF4"/>
    <w:rsid w:val="00EB0B82"/>
    <w:rsid w:val="00EB6AAE"/>
    <w:rsid w:val="00EB756C"/>
    <w:rsid w:val="00F01CBF"/>
    <w:rsid w:val="00F13ACF"/>
    <w:rsid w:val="00F24AB7"/>
    <w:rsid w:val="00F26236"/>
    <w:rsid w:val="00F3776A"/>
    <w:rsid w:val="00F500EE"/>
    <w:rsid w:val="00F535B5"/>
    <w:rsid w:val="00F76A28"/>
    <w:rsid w:val="00F9329F"/>
    <w:rsid w:val="00F94858"/>
    <w:rsid w:val="00F96B73"/>
    <w:rsid w:val="00F96E51"/>
    <w:rsid w:val="00FA0B08"/>
    <w:rsid w:val="00FA0F10"/>
    <w:rsid w:val="00FB1075"/>
    <w:rsid w:val="00FD3C39"/>
    <w:rsid w:val="00FD6C5E"/>
    <w:rsid w:val="00FE18D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5B43"/>
  <w15:chartTrackingRefBased/>
  <w15:docId w15:val="{AB3976F9-FB26-4E72-9D9C-E7D64741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1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1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1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1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1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1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1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1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1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1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1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1D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1D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1D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1D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1D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1D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1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1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1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1D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1DE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1DE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1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1DE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1DE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B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1DED"/>
  </w:style>
  <w:style w:type="paragraph" w:styleId="Sidefod">
    <w:name w:val="footer"/>
    <w:basedOn w:val="Normal"/>
    <w:link w:val="SidefodTegn"/>
    <w:uiPriority w:val="99"/>
    <w:unhideWhenUsed/>
    <w:rsid w:val="00CB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1DED"/>
  </w:style>
  <w:style w:type="character" w:styleId="Kommentarhenvisning">
    <w:name w:val="annotation reference"/>
    <w:basedOn w:val="Standardskrifttypeiafsnit"/>
    <w:uiPriority w:val="99"/>
    <w:semiHidden/>
    <w:unhideWhenUsed/>
    <w:rsid w:val="009049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49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049B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49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49B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49B0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D41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F58455BFB2B4193039F39146167FB" ma:contentTypeVersion="14" ma:contentTypeDescription="Opret et nyt dokument." ma:contentTypeScope="" ma:versionID="85fc0d7515375a300ca132062e0cace1">
  <xsd:schema xmlns:xsd="http://www.w3.org/2001/XMLSchema" xmlns:xs="http://www.w3.org/2001/XMLSchema" xmlns:p="http://schemas.microsoft.com/office/2006/metadata/properties" xmlns:ns2="6a20057b-5acf-4913-9bbb-f845009789b4" xmlns:ns3="926a4637-9fe3-48a1-b5b9-80c92b65c876" targetNamespace="http://schemas.microsoft.com/office/2006/metadata/properties" ma:root="true" ma:fieldsID="80132b05c8817476f25783ddfef6f4ad" ns2:_="" ns3:_="">
    <xsd:import namespace="6a20057b-5acf-4913-9bbb-f845009789b4"/>
    <xsd:import namespace="926a4637-9fe3-48a1-b5b9-80c92b65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0057b-5acf-4913-9bbb-f84500978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1e0cb11b-affe-4b73-a070-438b82822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4637-9fe3-48a1-b5b9-80c92b65c8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813467-7326-4291-8b10-afbc2c3465e2}" ma:internalName="TaxCatchAll" ma:showField="CatchAllData" ma:web="926a4637-9fe3-48a1-b5b9-80c92b65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40A37-83F3-44E0-99BD-E3E8FAE08087}"/>
</file>

<file path=customXml/itemProps2.xml><?xml version="1.0" encoding="utf-8"?>
<ds:datastoreItem xmlns:ds="http://schemas.openxmlformats.org/officeDocument/2006/customXml" ds:itemID="{4C97AEE9-F33F-41BF-AA35-C1D5B4420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Nørholm Larsen</dc:creator>
  <cp:keywords/>
  <dc:description/>
  <cp:lastModifiedBy>Jonas Nørholm Larsen</cp:lastModifiedBy>
  <cp:revision>2</cp:revision>
  <cp:lastPrinted>2024-05-29T11:05:00Z</cp:lastPrinted>
  <dcterms:created xsi:type="dcterms:W3CDTF">2024-06-12T09:03:00Z</dcterms:created>
  <dcterms:modified xsi:type="dcterms:W3CDTF">2024-06-12T09:03:00Z</dcterms:modified>
</cp:coreProperties>
</file>